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BDCE04" w14:textId="5A86F7B6" w:rsidR="00654876" w:rsidRPr="00AB5982" w:rsidRDefault="00654876" w:rsidP="00056A88">
      <w:pPr>
        <w:tabs>
          <w:tab w:val="left" w:pos="5670"/>
        </w:tabs>
        <w:ind w:firstLine="6096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Додаток </w:t>
      </w:r>
      <w:r w:rsidR="009759F0">
        <w:rPr>
          <w:b/>
          <w:sz w:val="24"/>
          <w:szCs w:val="24"/>
        </w:rPr>
        <w:t>1</w:t>
      </w:r>
      <w:r w:rsidR="00002E1B">
        <w:rPr>
          <w:b/>
          <w:sz w:val="24"/>
          <w:szCs w:val="24"/>
        </w:rPr>
        <w:t>2</w:t>
      </w:r>
    </w:p>
    <w:p w14:paraId="6D9553B4" w14:textId="4FD96F5B" w:rsidR="00654876" w:rsidRPr="008B5638" w:rsidRDefault="00761258" w:rsidP="00056A88">
      <w:pPr>
        <w:pStyle w:val="a3"/>
        <w:ind w:left="6096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до </w:t>
      </w:r>
      <w:r w:rsidR="009759F0">
        <w:rPr>
          <w:sz w:val="24"/>
          <w:szCs w:val="24"/>
        </w:rPr>
        <w:t>д</w:t>
      </w:r>
      <w:r w:rsidR="00654876" w:rsidRPr="008B5638">
        <w:rPr>
          <w:sz w:val="24"/>
          <w:szCs w:val="24"/>
        </w:rPr>
        <w:t xml:space="preserve">оговору </w:t>
      </w:r>
      <w:r w:rsidR="00654876">
        <w:rPr>
          <w:sz w:val="24"/>
          <w:szCs w:val="24"/>
        </w:rPr>
        <w:t>с</w:t>
      </w:r>
      <w:r w:rsidR="00654876" w:rsidRPr="008B5638">
        <w:rPr>
          <w:sz w:val="24"/>
          <w:szCs w:val="24"/>
        </w:rPr>
        <w:t>поживача про надання послуг з розподілу</w:t>
      </w:r>
      <w:r w:rsidR="007A6F47">
        <w:rPr>
          <w:sz w:val="24"/>
          <w:szCs w:val="24"/>
        </w:rPr>
        <w:t xml:space="preserve"> (передачі)</w:t>
      </w:r>
      <w:r w:rsidR="00654876" w:rsidRPr="008B5638">
        <w:rPr>
          <w:sz w:val="24"/>
          <w:szCs w:val="24"/>
        </w:rPr>
        <w:t xml:space="preserve"> електричної енергії</w:t>
      </w:r>
    </w:p>
    <w:p w14:paraId="14B921F2" w14:textId="77777777" w:rsidR="00654876" w:rsidRPr="00AB5982" w:rsidRDefault="00654876" w:rsidP="00654876">
      <w:pPr>
        <w:tabs>
          <w:tab w:val="left" w:pos="5670"/>
        </w:tabs>
        <w:jc w:val="both"/>
        <w:rPr>
          <w:b/>
          <w:sz w:val="20"/>
          <w:lang w:val="ru-RU"/>
        </w:rPr>
      </w:pPr>
      <w:r>
        <w:rPr>
          <w:sz w:val="24"/>
          <w:szCs w:val="24"/>
        </w:rPr>
        <w:tab/>
      </w:r>
    </w:p>
    <w:p w14:paraId="1D57F6A4" w14:textId="25E2F52D" w:rsidR="00654876" w:rsidRPr="00B63E00" w:rsidRDefault="00761258" w:rsidP="00056A88">
      <w:pPr>
        <w:pStyle w:val="a3"/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Режими розподілу електричної енергії та управління попитом</w:t>
      </w:r>
      <w:r w:rsidR="00654876" w:rsidRPr="00B63E00">
        <w:rPr>
          <w:b/>
          <w:sz w:val="24"/>
          <w:szCs w:val="24"/>
        </w:rPr>
        <w:t xml:space="preserve"> </w:t>
      </w:r>
    </w:p>
    <w:p w14:paraId="529DAE1F" w14:textId="77777777" w:rsidR="00654876" w:rsidRPr="00B63E00" w:rsidRDefault="00654876" w:rsidP="00654876">
      <w:pPr>
        <w:ind w:firstLine="720"/>
        <w:jc w:val="both"/>
        <w:rPr>
          <w:sz w:val="12"/>
          <w:szCs w:val="12"/>
        </w:rPr>
      </w:pPr>
    </w:p>
    <w:p w14:paraId="762329F0" w14:textId="6391C2EF" w:rsidR="00905F51" w:rsidRDefault="00761258" w:rsidP="009759F0">
      <w:pPr>
        <w:pStyle w:val="21"/>
        <w:numPr>
          <w:ilvl w:val="0"/>
          <w:numId w:val="1"/>
        </w:numPr>
        <w:tabs>
          <w:tab w:val="left" w:pos="851"/>
        </w:tabs>
        <w:spacing w:before="12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Споживання електричної енергії Споживачем здійснюється відповідно до режимів, визначених з урахуванням вимог Кодексу систем передачі, Кодексу систем розподілу та передбачених </w:t>
      </w:r>
      <w:r w:rsidR="009759F0">
        <w:rPr>
          <w:sz w:val="24"/>
          <w:szCs w:val="24"/>
        </w:rPr>
        <w:t xml:space="preserve">цим </w:t>
      </w:r>
      <w:r>
        <w:rPr>
          <w:sz w:val="24"/>
          <w:szCs w:val="24"/>
        </w:rPr>
        <w:t>Договором</w:t>
      </w:r>
      <w:r w:rsidR="00905F51">
        <w:rPr>
          <w:sz w:val="24"/>
          <w:szCs w:val="24"/>
        </w:rPr>
        <w:t>.</w:t>
      </w:r>
    </w:p>
    <w:p w14:paraId="213087A3" w14:textId="69F03299" w:rsidR="00434830" w:rsidRPr="00905F51" w:rsidRDefault="00761258" w:rsidP="009759F0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Розмір очікуваного споживання електричної енергії визначається та вказується для кожної </w:t>
      </w:r>
      <w:r w:rsidR="00C52A84">
        <w:rPr>
          <w:sz w:val="24"/>
          <w:szCs w:val="24"/>
        </w:rPr>
        <w:t xml:space="preserve">точки приєднання </w:t>
      </w:r>
      <w:r w:rsidR="00C52A84">
        <w:rPr>
          <w:sz w:val="24"/>
        </w:rPr>
        <w:t>до системи розподілу</w:t>
      </w:r>
      <w:r w:rsidR="00C52A84">
        <w:rPr>
          <w:sz w:val="24"/>
          <w:szCs w:val="24"/>
        </w:rPr>
        <w:t xml:space="preserve"> або для кожної точки розподілу</w:t>
      </w:r>
      <w:r w:rsidR="00434830" w:rsidRPr="00905F51">
        <w:rPr>
          <w:sz w:val="24"/>
          <w:szCs w:val="24"/>
        </w:rPr>
        <w:t>.</w:t>
      </w:r>
    </w:p>
    <w:p w14:paraId="5DD04D68" w14:textId="5F119B27" w:rsidR="00654876" w:rsidRDefault="00761258" w:rsidP="009759F0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567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Відомості про обсяги очікуваного споживання електричної енергії </w:t>
      </w:r>
      <w:r w:rsidR="00521A27">
        <w:rPr>
          <w:sz w:val="24"/>
          <w:szCs w:val="24"/>
        </w:rPr>
        <w:t>в наступному році</w:t>
      </w:r>
      <w:r w:rsidR="00EA145E">
        <w:rPr>
          <w:sz w:val="24"/>
          <w:szCs w:val="24"/>
        </w:rPr>
        <w:t>, які є Додатком № 12.1 до Договору</w:t>
      </w:r>
      <w:bookmarkEnd w:id="0"/>
      <w:r w:rsidR="00EA145E">
        <w:rPr>
          <w:sz w:val="24"/>
          <w:szCs w:val="24"/>
        </w:rPr>
        <w:t xml:space="preserve">, </w:t>
      </w:r>
      <w:r w:rsidR="00521A27">
        <w:rPr>
          <w:sz w:val="24"/>
          <w:szCs w:val="24"/>
        </w:rPr>
        <w:t xml:space="preserve">з помісячним (поквартальним) розподілом подаються </w:t>
      </w:r>
      <w:r w:rsidR="002756D4">
        <w:rPr>
          <w:sz w:val="24"/>
          <w:szCs w:val="24"/>
        </w:rPr>
        <w:t xml:space="preserve">Оператору системи розподілу до 01 вересня поточного року </w:t>
      </w:r>
      <w:r w:rsidR="00521A27">
        <w:rPr>
          <w:sz w:val="24"/>
          <w:szCs w:val="24"/>
        </w:rPr>
        <w:t>всіма споживачами (крім побутових) у порядку, обумовленому Кодексом систем розподілу</w:t>
      </w:r>
      <w:r w:rsidR="00654876" w:rsidRPr="008A110A">
        <w:rPr>
          <w:sz w:val="24"/>
          <w:szCs w:val="24"/>
        </w:rPr>
        <w:t xml:space="preserve">. </w:t>
      </w:r>
    </w:p>
    <w:p w14:paraId="34BB40BD" w14:textId="35A03491" w:rsidR="00521A27" w:rsidRDefault="00521A27" w:rsidP="009759F0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  <w:r>
        <w:rPr>
          <w:sz w:val="24"/>
          <w:szCs w:val="24"/>
        </w:rPr>
        <w:t>У разі ненадання непобутовим споживачем зазначених відомостей про обсяги очікуваного споживання електричної енергії в наступному році до 01 вересня поточного року розмір очікуваного споживання електричної енергії на наступний рік визначається Оператором системи розподілу за фактичними обсягами споживання у відповідних періодах поточного року, що минули, та у відповідних періодах минулого року, які відповідають майбутнім періодам поточного року.</w:t>
      </w:r>
    </w:p>
    <w:p w14:paraId="5E0D64A8" w14:textId="4B947A6B" w:rsidR="00521A27" w:rsidRDefault="00521A27" w:rsidP="009759F0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  <w:r>
        <w:rPr>
          <w:sz w:val="24"/>
          <w:szCs w:val="24"/>
        </w:rPr>
        <w:t>Обсяги очікуваного споживання електричної енергії повинні об’єктивно відображати прогнозоване споживання електроенергії або бути максимально наближеними до фактичних обсягів споживання у відповідних періодах поточного року, що минули, та у відповідних періодах минулого року, які відповідають май</w:t>
      </w:r>
      <w:r w:rsidR="00654769">
        <w:rPr>
          <w:sz w:val="24"/>
          <w:szCs w:val="24"/>
        </w:rPr>
        <w:t>бутнім періодам поточного року.</w:t>
      </w:r>
    </w:p>
    <w:p w14:paraId="1B367CC7" w14:textId="47AF8488" w:rsidR="008E6F6F" w:rsidRDefault="00654769" w:rsidP="009759F0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Споживач відповідно до вимог Кодексу систем розподілу має надавати Оператору системи розподілу прогнозні </w:t>
      </w:r>
      <w:r w:rsidR="00C77D27">
        <w:rPr>
          <w:sz w:val="24"/>
          <w:szCs w:val="24"/>
        </w:rPr>
        <w:t>та фактичні дані/</w:t>
      </w:r>
      <w:r>
        <w:rPr>
          <w:sz w:val="24"/>
          <w:szCs w:val="24"/>
        </w:rPr>
        <w:t>інформацію</w:t>
      </w:r>
      <w:r w:rsidR="00F92A38">
        <w:rPr>
          <w:sz w:val="24"/>
          <w:szCs w:val="24"/>
        </w:rPr>
        <w:t>, у т.</w:t>
      </w:r>
      <w:r w:rsidR="009759F0">
        <w:rPr>
          <w:sz w:val="24"/>
          <w:szCs w:val="24"/>
        </w:rPr>
        <w:t xml:space="preserve"> </w:t>
      </w:r>
      <w:r w:rsidR="00F92A38">
        <w:rPr>
          <w:sz w:val="24"/>
          <w:szCs w:val="24"/>
        </w:rPr>
        <w:t>ч. прогнозні, проектні та постійні дані в розрізі періодів, передбачених Кодексом систем розподілу</w:t>
      </w:r>
      <w:r>
        <w:rPr>
          <w:sz w:val="24"/>
          <w:szCs w:val="24"/>
        </w:rPr>
        <w:t>, необхідн</w:t>
      </w:r>
      <w:r w:rsidR="00C77D27">
        <w:rPr>
          <w:sz w:val="24"/>
          <w:szCs w:val="24"/>
        </w:rPr>
        <w:t>і</w:t>
      </w:r>
      <w:r>
        <w:rPr>
          <w:sz w:val="24"/>
          <w:szCs w:val="24"/>
        </w:rPr>
        <w:t xml:space="preserve"> Оператору системи розподілу для підготовки плану розвитку Оператора системи розподілу</w:t>
      </w:r>
      <w:r w:rsidR="00C77D27">
        <w:rPr>
          <w:sz w:val="24"/>
          <w:szCs w:val="24"/>
        </w:rPr>
        <w:t xml:space="preserve"> та проведення аналізу відповідно до Кодексу систем розподілу</w:t>
      </w:r>
      <w:r w:rsidR="008E6F6F">
        <w:rPr>
          <w:sz w:val="24"/>
          <w:szCs w:val="24"/>
        </w:rPr>
        <w:t>.</w:t>
      </w:r>
    </w:p>
    <w:p w14:paraId="487BE907" w14:textId="37A27851" w:rsidR="00B129F1" w:rsidRPr="00B129F1" w:rsidRDefault="00B129F1" w:rsidP="009759F0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567"/>
      </w:pPr>
      <w:r>
        <w:rPr>
          <w:sz w:val="24"/>
        </w:rPr>
        <w:t>Споживач</w:t>
      </w:r>
      <w:r w:rsidR="00934006">
        <w:rPr>
          <w:sz w:val="24"/>
        </w:rPr>
        <w:t>, електроустановки як</w:t>
      </w:r>
      <w:r>
        <w:rPr>
          <w:sz w:val="24"/>
        </w:rPr>
        <w:t>ого</w:t>
      </w:r>
      <w:r w:rsidR="00934006">
        <w:rPr>
          <w:sz w:val="24"/>
        </w:rPr>
        <w:t xml:space="preserve"> приєднані до мереж напругою 1 кВ та вище, та якщо потужність навантаження Споживач</w:t>
      </w:r>
      <w:r>
        <w:rPr>
          <w:sz w:val="24"/>
        </w:rPr>
        <w:t>а</w:t>
      </w:r>
      <w:r w:rsidR="00934006">
        <w:rPr>
          <w:sz w:val="24"/>
        </w:rPr>
        <w:t xml:space="preserve"> становить 5</w:t>
      </w:r>
      <w:r w:rsidR="00022229">
        <w:rPr>
          <w:sz w:val="24"/>
        </w:rPr>
        <w:t xml:space="preserve"> </w:t>
      </w:r>
      <w:r w:rsidR="00934006">
        <w:rPr>
          <w:sz w:val="24"/>
        </w:rPr>
        <w:t>МВт та більше, ма</w:t>
      </w:r>
      <w:r>
        <w:rPr>
          <w:sz w:val="24"/>
        </w:rPr>
        <w:t>є</w:t>
      </w:r>
      <w:r w:rsidR="00934006">
        <w:rPr>
          <w:sz w:val="24"/>
        </w:rPr>
        <w:t xml:space="preserve"> щорічно до </w:t>
      </w:r>
      <w:r w:rsidR="007A6DB7">
        <w:rPr>
          <w:sz w:val="24"/>
        </w:rPr>
        <w:br/>
      </w:r>
      <w:r w:rsidR="00934006">
        <w:rPr>
          <w:sz w:val="24"/>
        </w:rPr>
        <w:t xml:space="preserve">01 вересня надавати Оператору системи розподілу </w:t>
      </w:r>
      <w:r>
        <w:rPr>
          <w:sz w:val="24"/>
        </w:rPr>
        <w:t xml:space="preserve">прогнози навантаження на щонайменше наступні 5 календарних років, включаючи заплановані зміни (зменшення або збільшення) навантаження, потужності передачі або встановленої потужності. </w:t>
      </w:r>
    </w:p>
    <w:p w14:paraId="19E255FA" w14:textId="3530159F" w:rsidR="00B129F1" w:rsidRPr="00B129F1" w:rsidRDefault="00B129F1" w:rsidP="009759F0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  <w:r w:rsidRPr="00B129F1">
        <w:rPr>
          <w:sz w:val="24"/>
          <w:szCs w:val="24"/>
        </w:rPr>
        <w:t>Перший рік прогнозу повинен містити дані у розрізі кожного місяця, інші роки – у розрізі років.</w:t>
      </w:r>
    </w:p>
    <w:p w14:paraId="145DAAA6" w14:textId="5E5DC4EF" w:rsidR="002F0B77" w:rsidRPr="007242D6" w:rsidRDefault="00B129F1" w:rsidP="009759F0">
      <w:pPr>
        <w:pStyle w:val="21"/>
        <w:tabs>
          <w:tab w:val="left" w:pos="851"/>
        </w:tabs>
        <w:spacing w:before="60" w:after="60"/>
        <w:ind w:firstLine="567"/>
      </w:pPr>
      <w:r>
        <w:rPr>
          <w:sz w:val="24"/>
        </w:rPr>
        <w:t>Д</w:t>
      </w:r>
      <w:r w:rsidR="00934006">
        <w:rPr>
          <w:sz w:val="24"/>
        </w:rPr>
        <w:t>ані</w:t>
      </w:r>
      <w:r>
        <w:rPr>
          <w:sz w:val="24"/>
        </w:rPr>
        <w:t xml:space="preserve"> на прогнозний період</w:t>
      </w:r>
      <w:r w:rsidR="00934006">
        <w:rPr>
          <w:sz w:val="24"/>
        </w:rPr>
        <w:t xml:space="preserve"> щодо потреб </w:t>
      </w:r>
      <w:r>
        <w:rPr>
          <w:sz w:val="24"/>
        </w:rPr>
        <w:t xml:space="preserve">Споживача </w:t>
      </w:r>
      <w:r w:rsidR="00934006">
        <w:rPr>
          <w:sz w:val="24"/>
        </w:rPr>
        <w:t xml:space="preserve">в обсягах споживання/виробництва електричної енергії, активної та реактивної потужності </w:t>
      </w:r>
      <w:r>
        <w:rPr>
          <w:sz w:val="24"/>
        </w:rPr>
        <w:t xml:space="preserve">мають надаватися Споживачем </w:t>
      </w:r>
      <w:r w:rsidR="00934006">
        <w:rPr>
          <w:sz w:val="24"/>
        </w:rPr>
        <w:t>в цілому та по кожній точці приєднання до системи розподілу</w:t>
      </w:r>
      <w:r w:rsidR="002F0B77" w:rsidRPr="00056A88">
        <w:rPr>
          <w:sz w:val="24"/>
        </w:rPr>
        <w:t>.</w:t>
      </w:r>
    </w:p>
    <w:p w14:paraId="6868594D" w14:textId="144DE254" w:rsidR="008E6F6F" w:rsidRDefault="00934006" w:rsidP="009759F0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567"/>
        <w:rPr>
          <w:sz w:val="24"/>
          <w:szCs w:val="24"/>
        </w:rPr>
      </w:pPr>
      <w:r>
        <w:rPr>
          <w:sz w:val="24"/>
          <w:szCs w:val="24"/>
        </w:rPr>
        <w:t>Споживач додатково до періодичного оновлення даних планування має надавати Оператору системи розподілу повідомлення про будь-які істотні зміни у режимі споживання (збільшення або зменшення обсягу споживання/навантаження, запланований/фактичний час такої зміни та причини)</w:t>
      </w:r>
      <w:r w:rsidR="008E6F6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61C6DE71" w14:textId="53E95DFB" w:rsidR="001A1348" w:rsidRDefault="009E22DD" w:rsidP="009759F0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567"/>
        <w:rPr>
          <w:sz w:val="24"/>
          <w:szCs w:val="24"/>
        </w:rPr>
      </w:pPr>
      <w:r>
        <w:rPr>
          <w:sz w:val="24"/>
          <w:szCs w:val="24"/>
        </w:rPr>
        <w:t>Дані щодо визначення обсягів споживання, активної та реактивної потужності, рівні напруги в характерних точках електричної мережі мають бути отримані у процесі здійснення кон</w:t>
      </w:r>
      <w:r w:rsidR="009D550A">
        <w:rPr>
          <w:sz w:val="24"/>
          <w:szCs w:val="24"/>
        </w:rPr>
        <w:t xml:space="preserve">трольного виміру в режимні дні (доба максимального попиту та доба мінімального попиту). </w:t>
      </w:r>
      <w:r w:rsidR="001A1348">
        <w:rPr>
          <w:sz w:val="24"/>
          <w:szCs w:val="24"/>
        </w:rPr>
        <w:t xml:space="preserve">Споживач (крім побутового) здійснює визначення обсягів споживання активної та реактивної потужності </w:t>
      </w:r>
      <w:r w:rsidR="00535D21">
        <w:rPr>
          <w:sz w:val="24"/>
          <w:szCs w:val="24"/>
        </w:rPr>
        <w:t xml:space="preserve">(фактичні добові графіки споживання/виробництва активної та реактивної потужності) </w:t>
      </w:r>
      <w:r w:rsidR="001A1348">
        <w:rPr>
          <w:sz w:val="24"/>
          <w:szCs w:val="24"/>
        </w:rPr>
        <w:t>у режимний день самостійно та несе відповідальність за достовірність даних, що надаються Оператору системи розподілу.</w:t>
      </w:r>
    </w:p>
    <w:p w14:paraId="5A0C31FB" w14:textId="2A375A01" w:rsidR="009D550A" w:rsidRDefault="009D550A" w:rsidP="009759F0">
      <w:pPr>
        <w:pStyle w:val="21"/>
        <w:numPr>
          <w:ilvl w:val="0"/>
          <w:numId w:val="1"/>
        </w:numPr>
        <w:tabs>
          <w:tab w:val="left" w:pos="851"/>
        </w:tabs>
        <w:spacing w:before="120" w:after="60"/>
        <w:ind w:lef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Дати проведення контрольних вимірів визнач</w:t>
      </w:r>
      <w:r w:rsidR="00F650F5">
        <w:rPr>
          <w:sz w:val="24"/>
          <w:szCs w:val="24"/>
        </w:rPr>
        <w:t>ають</w:t>
      </w:r>
      <w:r>
        <w:rPr>
          <w:sz w:val="24"/>
          <w:szCs w:val="24"/>
        </w:rPr>
        <w:t xml:space="preserve">ся: </w:t>
      </w:r>
    </w:p>
    <w:p w14:paraId="510C9FAF" w14:textId="77777777" w:rsidR="009D550A" w:rsidRDefault="009D550A" w:rsidP="009759F0">
      <w:pPr>
        <w:pStyle w:val="21"/>
        <w:numPr>
          <w:ilvl w:val="0"/>
          <w:numId w:val="4"/>
        </w:numPr>
        <w:tabs>
          <w:tab w:val="left" w:pos="851"/>
        </w:tabs>
        <w:spacing w:before="60" w:after="60"/>
        <w:ind w:left="851" w:hanging="284"/>
        <w:rPr>
          <w:sz w:val="24"/>
          <w:szCs w:val="24"/>
        </w:rPr>
      </w:pPr>
      <w:r>
        <w:rPr>
          <w:sz w:val="24"/>
          <w:szCs w:val="24"/>
        </w:rPr>
        <w:t>Оператором системи розподілу – для фіксації максимального та мінімального попиту в ОЕС України;</w:t>
      </w:r>
    </w:p>
    <w:p w14:paraId="29D79F7A" w14:textId="58DF287E" w:rsidR="009D550A" w:rsidRDefault="009D550A" w:rsidP="009759F0">
      <w:pPr>
        <w:pStyle w:val="21"/>
        <w:numPr>
          <w:ilvl w:val="0"/>
          <w:numId w:val="4"/>
        </w:numPr>
        <w:tabs>
          <w:tab w:val="left" w:pos="851"/>
        </w:tabs>
        <w:spacing w:before="60" w:after="60"/>
        <w:ind w:left="851" w:hanging="284"/>
        <w:rPr>
          <w:sz w:val="24"/>
          <w:szCs w:val="24"/>
        </w:rPr>
      </w:pPr>
      <w:r>
        <w:rPr>
          <w:sz w:val="24"/>
          <w:szCs w:val="24"/>
        </w:rPr>
        <w:t xml:space="preserve">Споживачем – додатково для окремої доби максимального попиту та доби мінімального попиту даного Споживача, визначених ним з урахуванням статистичних даних та/або умов споживання/виробництва.   </w:t>
      </w:r>
    </w:p>
    <w:p w14:paraId="2884A2FE" w14:textId="77777777" w:rsidR="00F650F5" w:rsidRDefault="001A1348" w:rsidP="009759F0">
      <w:pPr>
        <w:pStyle w:val="21"/>
        <w:tabs>
          <w:tab w:val="left" w:pos="851"/>
        </w:tabs>
        <w:spacing w:before="60" w:after="6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Оператор системи розподілу має право призначити Споживачу додатковий контрольний вимір у характерний для даної системи розподілу період (день) для потреб планування розвитку системи розподілу. </w:t>
      </w:r>
    </w:p>
    <w:p w14:paraId="248AE3E6" w14:textId="77777777" w:rsidR="00F650F5" w:rsidRDefault="00F650F5" w:rsidP="001A1348">
      <w:pPr>
        <w:pStyle w:val="21"/>
        <w:tabs>
          <w:tab w:val="left" w:pos="851"/>
        </w:tabs>
        <w:ind w:firstLine="567"/>
        <w:rPr>
          <w:sz w:val="24"/>
          <w:szCs w:val="24"/>
        </w:rPr>
      </w:pPr>
    </w:p>
    <w:p w14:paraId="2A7B98B8" w14:textId="77777777" w:rsidR="001A1348" w:rsidRPr="001A1348" w:rsidRDefault="001A1348" w:rsidP="001A1348">
      <w:pPr>
        <w:pStyle w:val="21"/>
        <w:tabs>
          <w:tab w:val="left" w:pos="851"/>
        </w:tabs>
        <w:ind w:firstLine="567"/>
        <w:rPr>
          <w:sz w:val="24"/>
          <w:szCs w:val="24"/>
        </w:rPr>
      </w:pPr>
    </w:p>
    <w:p w14:paraId="4394902C" w14:textId="77777777" w:rsidR="001A1348" w:rsidRPr="001A1348" w:rsidRDefault="001A1348" w:rsidP="001A1348">
      <w:pPr>
        <w:pStyle w:val="21"/>
        <w:tabs>
          <w:tab w:val="left" w:pos="851"/>
        </w:tabs>
        <w:ind w:left="567" w:firstLine="0"/>
        <w:rPr>
          <w:sz w:val="24"/>
          <w:szCs w:val="24"/>
        </w:rPr>
      </w:pPr>
    </w:p>
    <w:p w14:paraId="0D2A71E8" w14:textId="020A74FC" w:rsidR="0033488D" w:rsidRDefault="0033488D" w:rsidP="0033488D">
      <w:pPr>
        <w:pStyle w:val="21"/>
        <w:tabs>
          <w:tab w:val="left" w:pos="993"/>
        </w:tabs>
        <w:spacing w:before="60" w:after="60"/>
        <w:ind w:right="-1" w:firstLine="0"/>
        <w:rPr>
          <w:sz w:val="24"/>
        </w:rPr>
      </w:pPr>
    </w:p>
    <w:p w14:paraId="47D7D2D8" w14:textId="77777777" w:rsidR="0033488D" w:rsidRPr="0033488D" w:rsidRDefault="0033488D" w:rsidP="0033488D"/>
    <w:p w14:paraId="202841C9" w14:textId="77777777" w:rsidR="0033488D" w:rsidRPr="0033488D" w:rsidRDefault="0033488D" w:rsidP="0033488D"/>
    <w:p w14:paraId="4AF9723D" w14:textId="77777777" w:rsidR="0033488D" w:rsidRPr="0033488D" w:rsidRDefault="0033488D" w:rsidP="0033488D"/>
    <w:p w14:paraId="4DA27890" w14:textId="77777777" w:rsidR="0033488D" w:rsidRPr="0033488D" w:rsidRDefault="0033488D" w:rsidP="0033488D"/>
    <w:p w14:paraId="04DF7783" w14:textId="77777777" w:rsidR="0033488D" w:rsidRPr="0033488D" w:rsidRDefault="0033488D" w:rsidP="0033488D"/>
    <w:p w14:paraId="5A7F250D" w14:textId="77777777" w:rsidR="0033488D" w:rsidRPr="0033488D" w:rsidRDefault="0033488D" w:rsidP="0033488D"/>
    <w:p w14:paraId="2CDDA1B9" w14:textId="77777777" w:rsidR="0033488D" w:rsidRPr="0033488D" w:rsidRDefault="0033488D" w:rsidP="0033488D"/>
    <w:p w14:paraId="73FD9661" w14:textId="77777777" w:rsidR="0033488D" w:rsidRPr="0033488D" w:rsidRDefault="0033488D" w:rsidP="0033488D"/>
    <w:p w14:paraId="3B732CA6" w14:textId="77777777" w:rsidR="0033488D" w:rsidRPr="0033488D" w:rsidRDefault="0033488D" w:rsidP="0033488D"/>
    <w:p w14:paraId="172A7F33" w14:textId="77777777" w:rsidR="0033488D" w:rsidRPr="0033488D" w:rsidRDefault="0033488D" w:rsidP="0033488D"/>
    <w:p w14:paraId="476549C0" w14:textId="77777777" w:rsidR="0033488D" w:rsidRPr="0033488D" w:rsidRDefault="0033488D" w:rsidP="0033488D"/>
    <w:p w14:paraId="74AED65C" w14:textId="77777777" w:rsidR="0033488D" w:rsidRPr="0033488D" w:rsidRDefault="0033488D" w:rsidP="0033488D"/>
    <w:p w14:paraId="4673140C" w14:textId="77777777" w:rsidR="0033488D" w:rsidRPr="0033488D" w:rsidRDefault="0033488D" w:rsidP="0033488D"/>
    <w:p w14:paraId="4B6C17C1" w14:textId="77777777" w:rsidR="0033488D" w:rsidRPr="0033488D" w:rsidRDefault="0033488D" w:rsidP="0033488D"/>
    <w:p w14:paraId="5B9A351F" w14:textId="77777777" w:rsidR="0033488D" w:rsidRPr="0033488D" w:rsidRDefault="0033488D" w:rsidP="0033488D"/>
    <w:p w14:paraId="59A8750C" w14:textId="77777777" w:rsidR="0033488D" w:rsidRPr="0033488D" w:rsidRDefault="0033488D" w:rsidP="0033488D"/>
    <w:p w14:paraId="2C3C4F5B" w14:textId="77777777" w:rsidR="0033488D" w:rsidRPr="0033488D" w:rsidRDefault="0033488D" w:rsidP="0033488D"/>
    <w:p w14:paraId="10151395" w14:textId="77777777" w:rsidR="0033488D" w:rsidRPr="0033488D" w:rsidRDefault="0033488D" w:rsidP="0033488D"/>
    <w:p w14:paraId="0646C450" w14:textId="77777777" w:rsidR="0033488D" w:rsidRPr="0033488D" w:rsidRDefault="0033488D" w:rsidP="0033488D"/>
    <w:p w14:paraId="050A58FB" w14:textId="5527C65C" w:rsidR="0033488D" w:rsidRPr="0033488D" w:rsidRDefault="0033488D" w:rsidP="0033488D">
      <w:pPr>
        <w:tabs>
          <w:tab w:val="left" w:pos="8460"/>
        </w:tabs>
      </w:pPr>
      <w:r>
        <w:tab/>
      </w:r>
    </w:p>
    <w:p w14:paraId="3607FA30" w14:textId="77777777" w:rsidR="0033488D" w:rsidRPr="0033488D" w:rsidRDefault="0033488D" w:rsidP="0033488D"/>
    <w:p w14:paraId="3CD76C81" w14:textId="77777777" w:rsidR="0033488D" w:rsidRPr="0033488D" w:rsidRDefault="0033488D" w:rsidP="0033488D"/>
    <w:p w14:paraId="21E53D8C" w14:textId="77777777" w:rsidR="0033488D" w:rsidRPr="0033488D" w:rsidRDefault="0033488D" w:rsidP="0033488D"/>
    <w:p w14:paraId="6636AA9B" w14:textId="7276DB14" w:rsidR="0033488D" w:rsidRDefault="0033488D" w:rsidP="0033488D"/>
    <w:p w14:paraId="54BF8972" w14:textId="5308CBEE" w:rsidR="0033488D" w:rsidRDefault="0033488D" w:rsidP="0033488D"/>
    <w:p w14:paraId="13844A6C" w14:textId="77777777" w:rsidR="005022A5" w:rsidRPr="0033488D" w:rsidRDefault="005022A5" w:rsidP="0033488D">
      <w:pPr>
        <w:jc w:val="center"/>
      </w:pPr>
    </w:p>
    <w:sectPr w:rsidR="005022A5" w:rsidRPr="0033488D" w:rsidSect="009759F0">
      <w:footerReference w:type="default" r:id="rId8"/>
      <w:pgSz w:w="11906" w:h="16838"/>
      <w:pgMar w:top="567" w:right="567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6ACF69" w14:textId="77777777" w:rsidR="009759F0" w:rsidRDefault="009759F0" w:rsidP="009759F0">
      <w:r>
        <w:separator/>
      </w:r>
    </w:p>
  </w:endnote>
  <w:endnote w:type="continuationSeparator" w:id="0">
    <w:p w14:paraId="1CA67A67" w14:textId="77777777" w:rsidR="009759F0" w:rsidRDefault="009759F0" w:rsidP="009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24306910"/>
      <w:docPartObj>
        <w:docPartGallery w:val="Page Numbers (Bottom of Page)"/>
        <w:docPartUnique/>
      </w:docPartObj>
    </w:sdtPr>
    <w:sdtEndPr/>
    <w:sdtContent>
      <w:p w14:paraId="0E1772E5" w14:textId="3D985F0E" w:rsidR="009759F0" w:rsidRPr="0033488D" w:rsidRDefault="009759F0" w:rsidP="0033488D">
        <w:pPr>
          <w:pStyle w:val="af2"/>
          <w:jc w:val="center"/>
          <w:rPr>
            <w:sz w:val="20"/>
          </w:rPr>
        </w:pPr>
        <w:r w:rsidRPr="0033488D">
          <w:rPr>
            <w:sz w:val="20"/>
          </w:rPr>
          <w:fldChar w:fldCharType="begin"/>
        </w:r>
        <w:r w:rsidRPr="0033488D">
          <w:rPr>
            <w:sz w:val="20"/>
          </w:rPr>
          <w:instrText>PAGE   \* MERGEFORMAT</w:instrText>
        </w:r>
        <w:r w:rsidRPr="0033488D">
          <w:rPr>
            <w:sz w:val="20"/>
          </w:rPr>
          <w:fldChar w:fldCharType="separate"/>
        </w:r>
        <w:r w:rsidR="00EA145E" w:rsidRPr="00EA145E">
          <w:rPr>
            <w:noProof/>
            <w:sz w:val="20"/>
            <w:lang w:val="ru-RU"/>
          </w:rPr>
          <w:t>2</w:t>
        </w:r>
        <w:r w:rsidRPr="0033488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4854E" w14:textId="77777777" w:rsidR="009759F0" w:rsidRDefault="009759F0" w:rsidP="009759F0">
      <w:r>
        <w:separator/>
      </w:r>
    </w:p>
  </w:footnote>
  <w:footnote w:type="continuationSeparator" w:id="0">
    <w:p w14:paraId="13C4ED1F" w14:textId="77777777" w:rsidR="009759F0" w:rsidRDefault="009759F0" w:rsidP="009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A00F8"/>
    <w:multiLevelType w:val="hybridMultilevel"/>
    <w:tmpl w:val="1DF8F4AE"/>
    <w:lvl w:ilvl="0" w:tplc="DA684FC8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8E4DFA"/>
    <w:multiLevelType w:val="hybridMultilevel"/>
    <w:tmpl w:val="855CBB60"/>
    <w:lvl w:ilvl="0" w:tplc="7312E4F8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67B439EA"/>
    <w:multiLevelType w:val="hybridMultilevel"/>
    <w:tmpl w:val="D736CDEA"/>
    <w:lvl w:ilvl="0" w:tplc="9F52867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3D168EE"/>
    <w:multiLevelType w:val="hybridMultilevel"/>
    <w:tmpl w:val="6DD2A9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9B8"/>
    <w:rsid w:val="00002E1B"/>
    <w:rsid w:val="00004F26"/>
    <w:rsid w:val="00022229"/>
    <w:rsid w:val="00034EA0"/>
    <w:rsid w:val="00056A88"/>
    <w:rsid w:val="00156EEF"/>
    <w:rsid w:val="0017293F"/>
    <w:rsid w:val="00174A1F"/>
    <w:rsid w:val="00180C0D"/>
    <w:rsid w:val="001A1348"/>
    <w:rsid w:val="001D335F"/>
    <w:rsid w:val="00225E90"/>
    <w:rsid w:val="00252C89"/>
    <w:rsid w:val="00272BB3"/>
    <w:rsid w:val="002731F6"/>
    <w:rsid w:val="002756D4"/>
    <w:rsid w:val="002D010A"/>
    <w:rsid w:val="002D14C3"/>
    <w:rsid w:val="002D1DBD"/>
    <w:rsid w:val="002F0B77"/>
    <w:rsid w:val="0033488D"/>
    <w:rsid w:val="003474F3"/>
    <w:rsid w:val="00371D9E"/>
    <w:rsid w:val="003D0641"/>
    <w:rsid w:val="003E0397"/>
    <w:rsid w:val="00412934"/>
    <w:rsid w:val="00434830"/>
    <w:rsid w:val="00493E9C"/>
    <w:rsid w:val="00500893"/>
    <w:rsid w:val="005022A5"/>
    <w:rsid w:val="00514BE3"/>
    <w:rsid w:val="00521A27"/>
    <w:rsid w:val="00524016"/>
    <w:rsid w:val="00531497"/>
    <w:rsid w:val="00535D21"/>
    <w:rsid w:val="00580C77"/>
    <w:rsid w:val="005A5DA8"/>
    <w:rsid w:val="00633010"/>
    <w:rsid w:val="00651BD1"/>
    <w:rsid w:val="00653FAF"/>
    <w:rsid w:val="00654769"/>
    <w:rsid w:val="00654876"/>
    <w:rsid w:val="007242D6"/>
    <w:rsid w:val="00761258"/>
    <w:rsid w:val="00772B28"/>
    <w:rsid w:val="007A6DB7"/>
    <w:rsid w:val="007A6F47"/>
    <w:rsid w:val="007D0D61"/>
    <w:rsid w:val="00807A63"/>
    <w:rsid w:val="00853ACA"/>
    <w:rsid w:val="008A110A"/>
    <w:rsid w:val="008E6F6F"/>
    <w:rsid w:val="00905F51"/>
    <w:rsid w:val="00934006"/>
    <w:rsid w:val="009759F0"/>
    <w:rsid w:val="009946AB"/>
    <w:rsid w:val="009D550A"/>
    <w:rsid w:val="009E22DD"/>
    <w:rsid w:val="00A75F65"/>
    <w:rsid w:val="00B129F1"/>
    <w:rsid w:val="00B40C52"/>
    <w:rsid w:val="00C01965"/>
    <w:rsid w:val="00C14151"/>
    <w:rsid w:val="00C309B8"/>
    <w:rsid w:val="00C52A84"/>
    <w:rsid w:val="00C77D27"/>
    <w:rsid w:val="00C86DA5"/>
    <w:rsid w:val="00CB5D4E"/>
    <w:rsid w:val="00CB7CFE"/>
    <w:rsid w:val="00CE201A"/>
    <w:rsid w:val="00D960DB"/>
    <w:rsid w:val="00DB2907"/>
    <w:rsid w:val="00DB6090"/>
    <w:rsid w:val="00DC261C"/>
    <w:rsid w:val="00E43EE0"/>
    <w:rsid w:val="00E56864"/>
    <w:rsid w:val="00E80A58"/>
    <w:rsid w:val="00EA145E"/>
    <w:rsid w:val="00EB6E88"/>
    <w:rsid w:val="00EB7E66"/>
    <w:rsid w:val="00F1020B"/>
    <w:rsid w:val="00F53115"/>
    <w:rsid w:val="00F650F5"/>
    <w:rsid w:val="00F9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D49D3-133E-4C81-90D3-E403C303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A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80A58"/>
    <w:pPr>
      <w:keepNext/>
      <w:jc w:val="center"/>
      <w:outlineLvl w:val="0"/>
    </w:pPr>
    <w:rPr>
      <w:sz w:val="24"/>
      <w:lang w:eastAsia="x-none"/>
    </w:rPr>
  </w:style>
  <w:style w:type="paragraph" w:styleId="2">
    <w:name w:val="heading 2"/>
    <w:basedOn w:val="a"/>
    <w:next w:val="a"/>
    <w:link w:val="20"/>
    <w:qFormat/>
    <w:rsid w:val="00E80A58"/>
    <w:pPr>
      <w:keepNext/>
      <w:widowControl w:val="0"/>
      <w:shd w:val="clear" w:color="auto" w:fill="FFFFFF"/>
      <w:spacing w:before="158"/>
      <w:ind w:right="62"/>
      <w:jc w:val="center"/>
      <w:outlineLvl w:val="1"/>
    </w:pPr>
    <w:rPr>
      <w:b/>
      <w:snapToGrid w:val="0"/>
      <w:color w:val="000000"/>
      <w:w w:val="105"/>
      <w:sz w:val="4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80A58"/>
    <w:pPr>
      <w:jc w:val="center"/>
    </w:pPr>
  </w:style>
  <w:style w:type="character" w:customStyle="1" w:styleId="a4">
    <w:name w:val="Основной текст Знак"/>
    <w:basedOn w:val="a0"/>
    <w:link w:val="a3"/>
    <w:rsid w:val="00E80A5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E80A58"/>
    <w:pPr>
      <w:ind w:firstLine="720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80A58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5">
    <w:name w:val="Normal (Web)"/>
    <w:basedOn w:val="a"/>
    <w:uiPriority w:val="99"/>
    <w:rsid w:val="00E80A58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E80A58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20">
    <w:name w:val="Заголовок 2 Знак"/>
    <w:basedOn w:val="a0"/>
    <w:link w:val="2"/>
    <w:rsid w:val="00E80A58"/>
    <w:rPr>
      <w:rFonts w:ascii="Times New Roman" w:eastAsia="Times New Roman" w:hAnsi="Times New Roman" w:cs="Times New Roman"/>
      <w:b/>
      <w:snapToGrid w:val="0"/>
      <w:color w:val="000000"/>
      <w:w w:val="105"/>
      <w:sz w:val="40"/>
      <w:szCs w:val="20"/>
      <w:shd w:val="clear" w:color="auto" w:fill="FFFFFF"/>
      <w:lang w:val="uk-UA" w:eastAsia="x-none"/>
    </w:rPr>
  </w:style>
  <w:style w:type="character" w:styleId="a6">
    <w:name w:val="Hyperlink"/>
    <w:basedOn w:val="a0"/>
    <w:uiPriority w:val="99"/>
    <w:unhideWhenUsed/>
    <w:rsid w:val="005A5DA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D0641"/>
    <w:rPr>
      <w:color w:val="800080" w:themeColor="followed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905F5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05F51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05F5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05F5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05F51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d">
    <w:name w:val="Revision"/>
    <w:hidden/>
    <w:uiPriority w:val="99"/>
    <w:semiHidden/>
    <w:rsid w:val="00905F5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e">
    <w:name w:val="Balloon Text"/>
    <w:basedOn w:val="a"/>
    <w:link w:val="af"/>
    <w:uiPriority w:val="99"/>
    <w:semiHidden/>
    <w:unhideWhenUsed/>
    <w:rsid w:val="00905F5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5F51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f0">
    <w:name w:val="header"/>
    <w:basedOn w:val="a"/>
    <w:link w:val="af1"/>
    <w:uiPriority w:val="99"/>
    <w:unhideWhenUsed/>
    <w:rsid w:val="009759F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759F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9759F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759F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88302F33FC83A45A68FDF35C6D0A446" ma:contentTypeVersion="1" ma:contentTypeDescription="Создание документа." ma:contentTypeScope="" ma:versionID="8b7731893cc6747f6904a68675c975c9">
  <xsd:schema xmlns:xsd="http://www.w3.org/2001/XMLSchema" xmlns:xs="http://www.w3.org/2001/XMLSchema" xmlns:p="http://schemas.microsoft.com/office/2006/metadata/properties" xmlns:ns2="d0194ea1-151a-433d-a693-48b622e80ff6" targetNamespace="http://schemas.microsoft.com/office/2006/metadata/properties" ma:root="true" ma:fieldsID="809ef8b247b085e0aa20cdbea7e9188c" ns2:_="">
    <xsd:import namespace="d0194ea1-151a-433d-a693-48b622e80ff6"/>
    <xsd:element name="properties">
      <xsd:complexType>
        <xsd:sequence>
          <xsd:element name="documentManagement">
            <xsd:complexType>
              <xsd:all>
                <xsd:element ref="ns2:_x041d__x041e__x0420__x041c__x0410__x0422__x0418__x0412__x041d__x042b__x0415__x0020__x0414__x041e__x041a__x0423__x041c__x0415__x041d__x0422__x042b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194ea1-151a-433d-a693-48b622e80ff6" elementFormDefault="qualified">
    <xsd:import namespace="http://schemas.microsoft.com/office/2006/documentManagement/types"/>
    <xsd:import namespace="http://schemas.microsoft.com/office/infopath/2007/PartnerControls"/>
    <xsd:element name="_x041d__x041e__x0420__x041c__x0410__x0422__x0418__x0412__x041d__x042b__x0415__x0020__x0414__x041e__x041a__x0423__x041c__x0415__x041d__x0422__x042b_" ma:index="8" nillable="true" ma:displayName="НОРМАТИВНЫЕ ДОКУМЕНТЫ" ma:internalName="_x041d__x041e__x0420__x041c__x0410__x0422__x0418__x0412__x041d__x042b__x0415__x0020__x0414__x041e__x041a__x0423__x041c__x0415__x041d__x0422__x042b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d__x041e__x0420__x041c__x0410__x0422__x0418__x0412__x041d__x042b__x0415__x0020__x0414__x041e__x041a__x0423__x041c__x0415__x041d__x0422__x042b_ xmlns="d0194ea1-151a-433d-a693-48b622e80ff6" xsi:nil="true"/>
  </documentManagement>
</p:properties>
</file>

<file path=customXml/itemProps1.xml><?xml version="1.0" encoding="utf-8"?>
<ds:datastoreItem xmlns:ds="http://schemas.openxmlformats.org/officeDocument/2006/customXml" ds:itemID="{8A93B18A-ED9B-4189-B29B-1082805B1BCF}"/>
</file>

<file path=customXml/itemProps2.xml><?xml version="1.0" encoding="utf-8"?>
<ds:datastoreItem xmlns:ds="http://schemas.openxmlformats.org/officeDocument/2006/customXml" ds:itemID="{DF321527-ECE7-4F80-91D8-CF01F347044E}"/>
</file>

<file path=customXml/itemProps3.xml><?xml version="1.0" encoding="utf-8"?>
<ds:datastoreItem xmlns:ds="http://schemas.openxmlformats.org/officeDocument/2006/customXml" ds:itemID="{13A680C1-386C-4768-B615-1DDC440F1947}"/>
</file>

<file path=customXml/itemProps4.xml><?xml version="1.0" encoding="utf-8"?>
<ds:datastoreItem xmlns:ds="http://schemas.openxmlformats.org/officeDocument/2006/customXml" ds:itemID="{D8DA2D46-9DAA-48E0-82C9-33ECB071E2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Mischanyuk Irina</dc:creator>
  <cp:lastModifiedBy>Kravchik Sergey</cp:lastModifiedBy>
  <cp:revision>6</cp:revision>
  <cp:lastPrinted>2018-10-01T08:06:00Z</cp:lastPrinted>
  <dcterms:created xsi:type="dcterms:W3CDTF">2018-10-08T14:09:00Z</dcterms:created>
  <dcterms:modified xsi:type="dcterms:W3CDTF">2018-11-05T15:59:00Z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1093339610</vt:i4>
  </property>
  <property fmtid="{D5CDD505-2E9C-101B-9397-08002B2CF9AE}" pid="3" name="_NewReviewCycle">
    <vt:lpwstr/>
  </property>
  <property fmtid="{D5CDD505-2E9C-101B-9397-08002B2CF9AE}" pid="4" name="_EmailSubject">
    <vt:lpwstr>Новий додаток до договору про розподіл</vt:lpwstr>
  </property>
  <property fmtid="{D5CDD505-2E9C-101B-9397-08002B2CF9AE}" pid="5" name="_AuthorEmail">
    <vt:lpwstr>GolubenkoVV@dtek.com</vt:lpwstr>
  </property>
  <property fmtid="{D5CDD505-2E9C-101B-9397-08002B2CF9AE}" pid="6" name="_AuthorEmailDisplayName">
    <vt:lpwstr>Golubenko Viktor</vt:lpwstr>
  </property>
  <property fmtid="{D5CDD505-2E9C-101B-9397-08002B2CF9AE}" pid="7" name="_ReviewingToolsShownOnce">
    <vt:lpwstr/>
  </property>
  <property fmtid="{D5CDD505-2E9C-101B-9397-08002B2CF9AE}" pid="8" name="ContentTypeId">
    <vt:lpwstr>0x010100088302F33FC83A45A68FDF35C6D0A446</vt:lpwstr>
  </property>
</Properties>
</file>